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21" w:rsidRPr="00252D21" w:rsidRDefault="00252D21" w:rsidP="00252D21">
      <w:r w:rsidRPr="00252D21">
        <w:rPr>
          <w:b/>
        </w:rPr>
        <w:t>Statewide Quality Advisory Committee (SQAC) Meeting</w:t>
      </w:r>
      <w:r>
        <w:br/>
      </w:r>
      <w:r w:rsidRPr="00252D21">
        <w:t>December 16, 2013</w:t>
      </w:r>
    </w:p>
    <w:p w:rsidR="00F92A6C" w:rsidRPr="00252D21" w:rsidRDefault="00252D21">
      <w:pPr>
        <w:rPr>
          <w:b/>
        </w:rPr>
      </w:pPr>
      <w:r w:rsidRPr="00252D21">
        <w:rPr>
          <w:b/>
        </w:rPr>
        <w:t>Agenda</w:t>
      </w:r>
    </w:p>
    <w:p w:rsidR="00000000" w:rsidRPr="00252D21" w:rsidRDefault="004F4FFB" w:rsidP="00252D21">
      <w:pPr>
        <w:numPr>
          <w:ilvl w:val="0"/>
          <w:numId w:val="1"/>
        </w:numPr>
      </w:pPr>
      <w:r w:rsidRPr="00252D21">
        <w:t>Welcome and approve minutes</w:t>
      </w:r>
      <w:r w:rsidRPr="00252D21">
        <w:tab/>
      </w:r>
      <w:r w:rsidRPr="00252D21">
        <w:tab/>
      </w:r>
      <w:r w:rsidRPr="00252D21">
        <w:tab/>
        <w:t>3:00</w:t>
      </w:r>
    </w:p>
    <w:p w:rsidR="00000000" w:rsidRPr="00252D21" w:rsidRDefault="004F4FFB" w:rsidP="00252D21">
      <w:pPr>
        <w:numPr>
          <w:ilvl w:val="0"/>
          <w:numId w:val="1"/>
        </w:numPr>
      </w:pPr>
      <w:r w:rsidRPr="00252D21">
        <w:t>D</w:t>
      </w:r>
      <w:r w:rsidR="00252D21">
        <w:t>iscuss 2014 work of Committee</w:t>
      </w:r>
      <w:r w:rsidR="00252D21">
        <w:tab/>
      </w:r>
      <w:r w:rsidR="00252D21">
        <w:tab/>
      </w:r>
      <w:r w:rsidRPr="00252D21">
        <w:t>3:05</w:t>
      </w:r>
    </w:p>
    <w:p w:rsidR="00000000" w:rsidRPr="00252D21" w:rsidRDefault="004F4FFB" w:rsidP="00252D21">
      <w:pPr>
        <w:numPr>
          <w:ilvl w:val="0"/>
          <w:numId w:val="1"/>
        </w:numPr>
      </w:pPr>
      <w:r w:rsidRPr="00252D21">
        <w:t>Presentation on SQMS</w:t>
      </w:r>
      <w:r w:rsidRPr="00252D21">
        <w:tab/>
      </w:r>
      <w:r w:rsidRPr="00252D21">
        <w:tab/>
        <w:t xml:space="preserve"> </w:t>
      </w:r>
      <w:r w:rsidRPr="00252D21">
        <w:tab/>
        <w:t xml:space="preserve">             3:20</w:t>
      </w:r>
    </w:p>
    <w:p w:rsidR="00000000" w:rsidRPr="00252D21" w:rsidRDefault="004F4FFB" w:rsidP="00252D21">
      <w:pPr>
        <w:numPr>
          <w:ilvl w:val="0"/>
          <w:numId w:val="1"/>
        </w:numPr>
      </w:pPr>
      <w:r w:rsidRPr="00252D21">
        <w:t>Select 2014 SQAC priorities</w:t>
      </w:r>
      <w:r w:rsidRPr="00252D21">
        <w:tab/>
      </w:r>
      <w:r w:rsidRPr="00252D21">
        <w:tab/>
      </w:r>
      <w:r w:rsidRPr="00252D21">
        <w:tab/>
        <w:t>4:00</w:t>
      </w:r>
      <w:r w:rsidRPr="00252D21">
        <w:tab/>
      </w:r>
    </w:p>
    <w:p w:rsidR="00000000" w:rsidRPr="00252D21" w:rsidRDefault="004F4FFB" w:rsidP="00252D21">
      <w:pPr>
        <w:numPr>
          <w:ilvl w:val="0"/>
          <w:numId w:val="1"/>
        </w:numPr>
      </w:pPr>
      <w:r w:rsidRPr="00252D21">
        <w:t>Revi</w:t>
      </w:r>
      <w:r w:rsidRPr="00252D21">
        <w:t>ew 2014 agenda and meeting objectives</w:t>
      </w:r>
      <w:r w:rsidRPr="00252D21">
        <w:tab/>
        <w:t>4:40</w:t>
      </w:r>
    </w:p>
    <w:p w:rsidR="00000000" w:rsidRDefault="00252D21" w:rsidP="00252D21">
      <w:pPr>
        <w:numPr>
          <w:ilvl w:val="0"/>
          <w:numId w:val="1"/>
        </w:numPr>
      </w:pPr>
      <w:r>
        <w:t>Next steps</w:t>
      </w:r>
      <w:r>
        <w:tab/>
      </w:r>
      <w:r>
        <w:tab/>
      </w:r>
      <w:r>
        <w:tab/>
      </w:r>
      <w:r>
        <w:tab/>
      </w:r>
      <w:r>
        <w:tab/>
      </w:r>
      <w:r w:rsidR="004F4FFB" w:rsidRPr="00252D21">
        <w:t>4:50</w:t>
      </w:r>
    </w:p>
    <w:p w:rsidR="00252D21" w:rsidRDefault="00252D21" w:rsidP="00252D21"/>
    <w:p w:rsidR="00252D21" w:rsidRPr="00252D21" w:rsidRDefault="00252D21" w:rsidP="00252D21">
      <w:pPr>
        <w:rPr>
          <w:b/>
        </w:rPr>
      </w:pPr>
      <w:r w:rsidRPr="00252D21">
        <w:rPr>
          <w:b/>
        </w:rPr>
        <w:t>Possible 2014 Work of the SQAC</w:t>
      </w:r>
    </w:p>
    <w:p w:rsidR="00252D21" w:rsidRPr="00252D21" w:rsidRDefault="00252D21" w:rsidP="00252D21">
      <w:r w:rsidRPr="00252D21">
        <w:t>In addition to further developing the SQMS, the Committee could:</w:t>
      </w:r>
    </w:p>
    <w:p w:rsidR="00000000" w:rsidRPr="00252D21" w:rsidRDefault="004F4FFB" w:rsidP="00252D21">
      <w:pPr>
        <w:numPr>
          <w:ilvl w:val="0"/>
          <w:numId w:val="2"/>
        </w:numPr>
      </w:pPr>
      <w:r w:rsidRPr="00252D21">
        <w:t>Advise on highest value me</w:t>
      </w:r>
      <w:r w:rsidRPr="00252D21">
        <w:t>asures for reporting and analysis</w:t>
      </w:r>
    </w:p>
    <w:p w:rsidR="00000000" w:rsidRPr="00252D21" w:rsidRDefault="004F4FFB" w:rsidP="00252D21">
      <w:pPr>
        <w:numPr>
          <w:ilvl w:val="0"/>
          <w:numId w:val="2"/>
        </w:numPr>
      </w:pPr>
      <w:r w:rsidRPr="00252D21">
        <w:t>Develop a policy for high compliance/low variability measures</w:t>
      </w:r>
    </w:p>
    <w:p w:rsidR="00000000" w:rsidRPr="00252D21" w:rsidRDefault="004F4FFB" w:rsidP="00252D21">
      <w:pPr>
        <w:numPr>
          <w:ilvl w:val="0"/>
          <w:numId w:val="2"/>
        </w:numPr>
      </w:pPr>
      <w:r w:rsidRPr="00252D21">
        <w:t>Advise on ACO and PCMH measure s</w:t>
      </w:r>
      <w:r w:rsidRPr="00252D21">
        <w:t>election</w:t>
      </w:r>
    </w:p>
    <w:p w:rsidR="00000000" w:rsidRPr="00252D21" w:rsidRDefault="004F4FFB" w:rsidP="00252D21">
      <w:pPr>
        <w:numPr>
          <w:ilvl w:val="0"/>
          <w:numId w:val="2"/>
        </w:numPr>
      </w:pPr>
      <w:r w:rsidRPr="00252D21">
        <w:t xml:space="preserve">Provide </w:t>
      </w:r>
      <w:r w:rsidRPr="00252D21">
        <w:t>feedback on SQMS reporting</w:t>
      </w:r>
    </w:p>
    <w:p w:rsidR="00252D21" w:rsidRPr="00252D21" w:rsidRDefault="00252D21" w:rsidP="00252D21"/>
    <w:p w:rsidR="00252D21" w:rsidRPr="00252D21" w:rsidRDefault="00252D21">
      <w:pPr>
        <w:rPr>
          <w:b/>
        </w:rPr>
      </w:pPr>
      <w:r w:rsidRPr="00252D21">
        <w:rPr>
          <w:b/>
        </w:rPr>
        <w:t>SQMS Reporting</w:t>
      </w:r>
    </w:p>
    <w:p w:rsidR="00000000" w:rsidRPr="00252D21" w:rsidRDefault="004F4FFB" w:rsidP="00252D21">
      <w:pPr>
        <w:numPr>
          <w:ilvl w:val="0"/>
          <w:numId w:val="3"/>
        </w:numPr>
      </w:pPr>
      <w:r w:rsidRPr="00252D21">
        <w:t>Public Reporting</w:t>
      </w:r>
    </w:p>
    <w:p w:rsidR="00000000" w:rsidRPr="00252D21" w:rsidRDefault="004F4FFB" w:rsidP="00252D21">
      <w:pPr>
        <w:numPr>
          <w:ilvl w:val="1"/>
          <w:numId w:val="3"/>
        </w:numPr>
      </w:pPr>
      <w:r w:rsidRPr="00252D21">
        <w:t>Administrative Bulletins</w:t>
      </w:r>
    </w:p>
    <w:p w:rsidR="00000000" w:rsidRPr="00252D21" w:rsidRDefault="004F4FFB" w:rsidP="00252D21">
      <w:pPr>
        <w:numPr>
          <w:ilvl w:val="1"/>
          <w:numId w:val="3"/>
        </w:numPr>
      </w:pPr>
      <w:r w:rsidRPr="00252D21">
        <w:t>SNF/HHA Reports</w:t>
      </w:r>
    </w:p>
    <w:p w:rsidR="00000000" w:rsidRPr="00252D21" w:rsidRDefault="004F4FFB" w:rsidP="00252D21">
      <w:pPr>
        <w:numPr>
          <w:ilvl w:val="1"/>
          <w:numId w:val="3"/>
        </w:numPr>
      </w:pPr>
      <w:r w:rsidRPr="00252D21">
        <w:t>Hospital Measures</w:t>
      </w:r>
    </w:p>
    <w:p w:rsidR="00000000" w:rsidRPr="00252D21" w:rsidRDefault="004F4FFB" w:rsidP="00252D21">
      <w:pPr>
        <w:numPr>
          <w:ilvl w:val="0"/>
          <w:numId w:val="3"/>
        </w:numPr>
      </w:pPr>
      <w:r w:rsidRPr="00252D21">
        <w:t>Selecting Measures from the SQMS</w:t>
      </w:r>
    </w:p>
    <w:p w:rsidR="00000000" w:rsidRPr="00252D21" w:rsidRDefault="004F4FFB" w:rsidP="00252D21">
      <w:pPr>
        <w:numPr>
          <w:ilvl w:val="0"/>
          <w:numId w:val="3"/>
        </w:numPr>
      </w:pPr>
      <w:r w:rsidRPr="00252D21">
        <w:t>Assessment o</w:t>
      </w:r>
      <w:r w:rsidRPr="00252D21">
        <w:t>f Data Availability</w:t>
      </w:r>
    </w:p>
    <w:p w:rsidR="00000000" w:rsidRPr="00252D21" w:rsidRDefault="004F4FFB" w:rsidP="00252D21">
      <w:pPr>
        <w:numPr>
          <w:ilvl w:val="0"/>
          <w:numId w:val="3"/>
        </w:numPr>
      </w:pPr>
      <w:r w:rsidRPr="00252D21">
        <w:t>Inter-Agency Collaboration</w:t>
      </w:r>
    </w:p>
    <w:p w:rsidR="00000000" w:rsidRPr="00252D21" w:rsidRDefault="004F4FFB" w:rsidP="00252D21">
      <w:pPr>
        <w:numPr>
          <w:ilvl w:val="0"/>
          <w:numId w:val="3"/>
        </w:numPr>
      </w:pPr>
      <w:r w:rsidRPr="00252D21">
        <w:t>RPO Reporting</w:t>
      </w:r>
    </w:p>
    <w:p w:rsidR="00252D21" w:rsidRDefault="00252D21">
      <w:pPr>
        <w:rPr>
          <w:b/>
        </w:rPr>
      </w:pPr>
      <w:r w:rsidRPr="00252D21">
        <w:rPr>
          <w:b/>
        </w:rPr>
        <w:lastRenderedPageBreak/>
        <w:t>The proportion of mandated and priority area measures in the SQMS</w:t>
      </w:r>
    </w:p>
    <w:p w:rsidR="00252D21" w:rsidRDefault="00252D21">
      <w:pPr>
        <w:rPr>
          <w:b/>
        </w:rPr>
      </w:pPr>
    </w:p>
    <w:p w:rsidR="00252D21" w:rsidRPr="00252D21" w:rsidRDefault="00252D21">
      <w:pPr>
        <w:rPr>
          <w:b/>
        </w:rPr>
      </w:pPr>
      <w:r w:rsidRPr="00252D21">
        <w:rPr>
          <w:b/>
        </w:rPr>
        <w:drawing>
          <wp:inline distT="0" distB="0" distL="0" distR="0" wp14:anchorId="0EDD0920" wp14:editId="50B3BF01">
            <wp:extent cx="5943600" cy="3045460"/>
            <wp:effectExtent l="0" t="0" r="19050" b="2159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2D21" w:rsidRDefault="00252D21"/>
    <w:p w:rsidR="00252D21" w:rsidRDefault="00252D21">
      <w:r w:rsidRPr="00252D21">
        <w:drawing>
          <wp:inline distT="0" distB="0" distL="0" distR="0" wp14:anchorId="44A12232" wp14:editId="74A9A5A3">
            <wp:extent cx="5095875" cy="274320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F4FFB" w:rsidRDefault="004F4FFB"/>
    <w:p w:rsidR="004F4FFB" w:rsidRDefault="004F4FFB">
      <w:pPr>
        <w:rPr>
          <w:b/>
        </w:rPr>
      </w:pPr>
      <w:r w:rsidRPr="004F4FFB">
        <w:rPr>
          <w:b/>
        </w:rPr>
        <w:t>S</w:t>
      </w:r>
      <w:r>
        <w:rPr>
          <w:b/>
        </w:rPr>
        <w:t>QMS measures by domain and type</w:t>
      </w:r>
    </w:p>
    <w:p w:rsidR="004F4FFB" w:rsidRDefault="004F4FFB" w:rsidP="004F4FFB">
      <w:pPr>
        <w:rPr>
          <w:b/>
        </w:rPr>
      </w:pPr>
      <w:r>
        <w:rPr>
          <w:b/>
        </w:rPr>
        <w:t>(</w:t>
      </w:r>
      <w:r w:rsidRPr="004F4FFB">
        <w:rPr>
          <w:b/>
        </w:rPr>
        <w:t>As categorized by the National Quality Forum</w:t>
      </w:r>
      <w:r>
        <w:rPr>
          <w:b/>
        </w:rPr>
        <w:t>)</w:t>
      </w:r>
    </w:p>
    <w:tbl>
      <w:tblPr>
        <w:tblW w:w="12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58"/>
        <w:gridCol w:w="1456"/>
        <w:gridCol w:w="1457"/>
        <w:gridCol w:w="1458"/>
        <w:gridCol w:w="1598"/>
        <w:gridCol w:w="1597"/>
        <w:gridCol w:w="1458"/>
        <w:gridCol w:w="1598"/>
      </w:tblGrid>
      <w:tr w:rsidR="004F4FFB" w:rsidRPr="004F4FFB" w:rsidTr="004F4FFB">
        <w:trPr>
          <w:trHeight w:val="820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Process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Outcome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Composite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Cost/Use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Structural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Patient</w:t>
            </w:r>
          </w:p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Experience</w:t>
            </w:r>
          </w:p>
        </w:tc>
      </w:tr>
      <w:tr w:rsidR="004F4FFB" w:rsidRPr="004F4FFB" w:rsidTr="004F4FFB">
        <w:trPr>
          <w:trHeight w:val="647"/>
        </w:trPr>
        <w:tc>
          <w:tcPr>
            <w:tcW w:w="1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BH</w:t>
            </w:r>
          </w:p>
        </w:tc>
        <w:tc>
          <w:tcPr>
            <w:tcW w:w="1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12</w:t>
            </w:r>
          </w:p>
        </w:tc>
        <w:tc>
          <w:tcPr>
            <w:tcW w:w="1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12</w:t>
            </w:r>
          </w:p>
        </w:tc>
        <w:tc>
          <w:tcPr>
            <w:tcW w:w="1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</w:tr>
      <w:tr w:rsidR="004F4FFB" w:rsidRPr="004F4FFB" w:rsidTr="004F4FFB">
        <w:trPr>
          <w:trHeight w:val="647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Coordination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26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6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2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17</w:t>
            </w:r>
          </w:p>
        </w:tc>
      </w:tr>
      <w:tr w:rsidR="004F4FFB" w:rsidRPr="004F4FFB" w:rsidTr="004F4FFB">
        <w:trPr>
          <w:trHeight w:val="766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Patient-centered Care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0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</w:tr>
      <w:tr w:rsidR="004F4FFB" w:rsidRPr="004F4FFB" w:rsidTr="004F4FFB">
        <w:trPr>
          <w:trHeight w:val="766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Chronic Disease mgmt.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21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12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7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2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</w:tr>
      <w:tr w:rsidR="004F4FFB" w:rsidRPr="004F4FFB" w:rsidTr="004F4FFB">
        <w:trPr>
          <w:trHeight w:val="647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Pediatric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11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9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2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</w:tr>
      <w:tr w:rsidR="004F4FFB" w:rsidRPr="004F4FFB" w:rsidTr="004F4FFB">
        <w:trPr>
          <w:trHeight w:val="766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Maternal &amp; Neonatal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8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1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6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1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</w:tr>
      <w:tr w:rsidR="004F4FFB" w:rsidRPr="004F4FFB" w:rsidTr="004F4FFB">
        <w:trPr>
          <w:trHeight w:val="647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Preventive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15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14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</w:tr>
      <w:tr w:rsidR="004F4FFB" w:rsidRPr="004F4FFB" w:rsidTr="004F4FFB">
        <w:trPr>
          <w:trHeight w:val="647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Surgical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9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9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</w:tr>
      <w:tr w:rsidR="004F4FFB" w:rsidRPr="004F4FFB" w:rsidTr="004F4FFB">
        <w:trPr>
          <w:trHeight w:val="647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Safety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13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2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11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</w:tr>
      <w:tr w:rsidR="004F4FFB" w:rsidRPr="004F4FFB" w:rsidTr="004F4FFB">
        <w:trPr>
          <w:trHeight w:val="647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Effectiveness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13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11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2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</w:tr>
      <w:tr w:rsidR="004F4FFB" w:rsidRPr="004F4FFB" w:rsidTr="004F4FFB">
        <w:trPr>
          <w:trHeight w:val="465"/>
        </w:trPr>
        <w:tc>
          <w:tcPr>
            <w:tcW w:w="186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  <w:bCs/>
              </w:rPr>
              <w:t>% of SQMS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4FFB" w:rsidRPr="004F4FFB" w:rsidRDefault="004F4FFB" w:rsidP="004F4FFB">
            <w:pPr>
              <w:rPr>
                <w:b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59%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23%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2%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2%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1%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F4FFB" w:rsidRDefault="004F4FFB" w:rsidP="004F4FFB">
            <w:pPr>
              <w:rPr>
                <w:b/>
              </w:rPr>
            </w:pPr>
            <w:r w:rsidRPr="004F4FFB">
              <w:rPr>
                <w:b/>
              </w:rPr>
              <w:t>13%</w:t>
            </w:r>
          </w:p>
        </w:tc>
      </w:tr>
    </w:tbl>
    <w:p w:rsidR="004F4FFB" w:rsidRPr="004F4FFB" w:rsidRDefault="004F4FFB" w:rsidP="004F4FFB">
      <w:pPr>
        <w:rPr>
          <w:b/>
        </w:rPr>
      </w:pPr>
    </w:p>
    <w:p w:rsidR="004F4FFB" w:rsidRDefault="004F4FFB">
      <w:pPr>
        <w:rPr>
          <w:b/>
        </w:rPr>
      </w:pPr>
      <w:r w:rsidRPr="004F4FFB">
        <w:rPr>
          <w:b/>
        </w:rPr>
        <w:t>How are the measures distributed across the delivery system?</w:t>
      </w:r>
    </w:p>
    <w:p w:rsidR="00000000" w:rsidRPr="004F4FFB" w:rsidRDefault="004F4FFB" w:rsidP="004F4FFB">
      <w:pPr>
        <w:numPr>
          <w:ilvl w:val="0"/>
          <w:numId w:val="4"/>
        </w:numPr>
      </w:pPr>
      <w:r w:rsidRPr="004F4FFB">
        <w:t>70 are for ambulatory care</w:t>
      </w:r>
    </w:p>
    <w:p w:rsidR="00000000" w:rsidRPr="004F4FFB" w:rsidRDefault="004F4FFB" w:rsidP="004F4FFB">
      <w:pPr>
        <w:numPr>
          <w:ilvl w:val="0"/>
          <w:numId w:val="4"/>
        </w:numPr>
      </w:pPr>
      <w:r w:rsidRPr="004F4FFB">
        <w:t>51 are for hospital care</w:t>
      </w:r>
    </w:p>
    <w:p w:rsidR="00000000" w:rsidRPr="004F4FFB" w:rsidRDefault="004F4FFB" w:rsidP="004F4FFB">
      <w:pPr>
        <w:numPr>
          <w:ilvl w:val="0"/>
          <w:numId w:val="4"/>
        </w:numPr>
      </w:pPr>
      <w:r w:rsidRPr="004F4FFB">
        <w:t>7 measure care in post-acute settings</w:t>
      </w:r>
    </w:p>
    <w:p w:rsidR="004F4FFB" w:rsidRDefault="004F4FFB">
      <w:pPr>
        <w:rPr>
          <w:b/>
        </w:rPr>
      </w:pPr>
      <w:r w:rsidRPr="004F4FFB">
        <w:rPr>
          <w:b/>
        </w:rPr>
        <w:lastRenderedPageBreak/>
        <w:t>What NQF quality domains and measure types are under-represented in the SQMS?</w:t>
      </w:r>
    </w:p>
    <w:p w:rsidR="004F4FFB" w:rsidRPr="004F4FFB" w:rsidRDefault="004F4FFB" w:rsidP="004F4FFB">
      <w:pPr>
        <w:rPr>
          <w:b/>
        </w:rPr>
      </w:pPr>
      <w:r w:rsidRPr="004F4FFB">
        <w:rPr>
          <w:b/>
          <w:bCs/>
        </w:rPr>
        <w:t>Domains</w:t>
      </w:r>
    </w:p>
    <w:p w:rsidR="00000000" w:rsidRPr="004F4FFB" w:rsidRDefault="004F4FFB" w:rsidP="004F4FFB">
      <w:pPr>
        <w:numPr>
          <w:ilvl w:val="0"/>
          <w:numId w:val="5"/>
        </w:numPr>
      </w:pPr>
      <w:r w:rsidRPr="004F4FFB">
        <w:t>Access</w:t>
      </w:r>
    </w:p>
    <w:p w:rsidR="00000000" w:rsidRPr="004F4FFB" w:rsidRDefault="004F4FFB" w:rsidP="004F4FFB">
      <w:pPr>
        <w:numPr>
          <w:ilvl w:val="0"/>
          <w:numId w:val="5"/>
        </w:numPr>
      </w:pPr>
      <w:r w:rsidRPr="004F4FFB">
        <w:t>Disparities</w:t>
      </w:r>
    </w:p>
    <w:p w:rsidR="00000000" w:rsidRPr="004F4FFB" w:rsidRDefault="004F4FFB" w:rsidP="004F4FFB">
      <w:pPr>
        <w:numPr>
          <w:ilvl w:val="0"/>
          <w:numId w:val="5"/>
        </w:numPr>
      </w:pPr>
      <w:r w:rsidRPr="004F4FFB">
        <w:t xml:space="preserve">Functional status </w:t>
      </w:r>
    </w:p>
    <w:p w:rsidR="00000000" w:rsidRPr="004F4FFB" w:rsidRDefault="004F4FFB" w:rsidP="004F4FFB">
      <w:pPr>
        <w:numPr>
          <w:ilvl w:val="0"/>
          <w:numId w:val="5"/>
        </w:numPr>
      </w:pPr>
      <w:r w:rsidRPr="004F4FFB">
        <w:t>Palliative and end-of-life care</w:t>
      </w:r>
    </w:p>
    <w:p w:rsidR="00000000" w:rsidRPr="004F4FFB" w:rsidRDefault="004F4FFB" w:rsidP="004F4FFB">
      <w:pPr>
        <w:numPr>
          <w:ilvl w:val="0"/>
          <w:numId w:val="5"/>
        </w:numPr>
      </w:pPr>
      <w:r w:rsidRPr="004F4FFB">
        <w:t>Patient and family engagement</w:t>
      </w:r>
    </w:p>
    <w:p w:rsidR="004F4FFB" w:rsidRPr="004F4FFB" w:rsidRDefault="004F4FFB" w:rsidP="004F4FFB">
      <w:pPr>
        <w:rPr>
          <w:b/>
        </w:rPr>
      </w:pPr>
      <w:r w:rsidRPr="004F4FFB">
        <w:rPr>
          <w:b/>
          <w:bCs/>
        </w:rPr>
        <w:t>Measure Types</w:t>
      </w:r>
    </w:p>
    <w:p w:rsidR="00000000" w:rsidRPr="004F4FFB" w:rsidRDefault="004F4FFB" w:rsidP="004F4FFB">
      <w:pPr>
        <w:numPr>
          <w:ilvl w:val="0"/>
          <w:numId w:val="6"/>
        </w:numPr>
      </w:pPr>
      <w:r w:rsidRPr="004F4FFB">
        <w:t>Cost/Resource Use</w:t>
      </w:r>
    </w:p>
    <w:p w:rsidR="00000000" w:rsidRPr="004F4FFB" w:rsidRDefault="004F4FFB" w:rsidP="004F4FFB">
      <w:pPr>
        <w:numPr>
          <w:ilvl w:val="0"/>
          <w:numId w:val="6"/>
        </w:numPr>
      </w:pPr>
      <w:r w:rsidRPr="004F4FFB">
        <w:t xml:space="preserve">Efficiency </w:t>
      </w:r>
    </w:p>
    <w:p w:rsidR="00000000" w:rsidRPr="004F4FFB" w:rsidRDefault="004F4FFB" w:rsidP="004F4FFB">
      <w:pPr>
        <w:numPr>
          <w:ilvl w:val="0"/>
          <w:numId w:val="6"/>
        </w:numPr>
      </w:pPr>
      <w:r w:rsidRPr="004F4FFB">
        <w:t>Patient-reported outcomes</w:t>
      </w:r>
    </w:p>
    <w:p w:rsidR="00000000" w:rsidRPr="004F4FFB" w:rsidRDefault="004F4FFB" w:rsidP="004F4FFB">
      <w:pPr>
        <w:numPr>
          <w:ilvl w:val="0"/>
          <w:numId w:val="6"/>
        </w:numPr>
      </w:pPr>
      <w:r w:rsidRPr="004F4FFB">
        <w:t>Structural</w:t>
      </w:r>
    </w:p>
    <w:p w:rsidR="004F4FFB" w:rsidRPr="004F4FFB" w:rsidRDefault="004F4FFB" w:rsidP="004F4FFB">
      <w:pPr>
        <w:rPr>
          <w:b/>
        </w:rPr>
      </w:pPr>
      <w:r w:rsidRPr="004F4FFB">
        <w:rPr>
          <w:b/>
          <w:bCs/>
        </w:rPr>
        <w:t>Other</w:t>
      </w:r>
      <w:bookmarkStart w:id="0" w:name="_GoBack"/>
      <w:bookmarkEnd w:id="0"/>
    </w:p>
    <w:p w:rsidR="00000000" w:rsidRPr="004F4FFB" w:rsidRDefault="004F4FFB" w:rsidP="004F4FFB">
      <w:pPr>
        <w:numPr>
          <w:ilvl w:val="0"/>
          <w:numId w:val="7"/>
        </w:numPr>
      </w:pPr>
      <w:r w:rsidRPr="004F4FFB">
        <w:t>Serious Reportable Events</w:t>
      </w:r>
    </w:p>
    <w:p w:rsidR="00000000" w:rsidRPr="004F4FFB" w:rsidRDefault="004F4FFB" w:rsidP="004F4FFB">
      <w:pPr>
        <w:numPr>
          <w:ilvl w:val="0"/>
          <w:numId w:val="7"/>
        </w:numPr>
      </w:pPr>
      <w:r w:rsidRPr="004F4FFB">
        <w:t>Outpatient specialist care</w:t>
      </w:r>
    </w:p>
    <w:p w:rsidR="004F4FFB" w:rsidRDefault="004F4FFB">
      <w:pPr>
        <w:rPr>
          <w:b/>
        </w:rPr>
      </w:pPr>
    </w:p>
    <w:p w:rsidR="004F4FFB" w:rsidRPr="004F4FFB" w:rsidRDefault="004F4FFB" w:rsidP="004F4FFB">
      <w:pPr>
        <w:rPr>
          <w:b/>
        </w:rPr>
      </w:pPr>
      <w:r w:rsidRPr="004F4FFB">
        <w:rPr>
          <w:b/>
        </w:rPr>
        <w:t>SQAC 2014 Agenda</w:t>
      </w:r>
    </w:p>
    <w:p w:rsidR="004F4FFB" w:rsidRPr="004F4FFB" w:rsidRDefault="004F4FFB" w:rsidP="004F4FFB">
      <w:pPr>
        <w:rPr>
          <w:b/>
        </w:rPr>
      </w:pPr>
      <w:r w:rsidRPr="004F4FFB">
        <w:rPr>
          <w:b/>
        </w:rPr>
        <w:t>February 10</w:t>
      </w:r>
    </w:p>
    <w:p w:rsidR="00000000" w:rsidRPr="004F4FFB" w:rsidRDefault="004F4FFB" w:rsidP="004F4FFB">
      <w:pPr>
        <w:numPr>
          <w:ilvl w:val="0"/>
          <w:numId w:val="8"/>
        </w:numPr>
      </w:pPr>
      <w:r w:rsidRPr="004F4FFB">
        <w:t>Expert presentation</w:t>
      </w:r>
    </w:p>
    <w:p w:rsidR="00000000" w:rsidRPr="004F4FFB" w:rsidRDefault="004F4FFB" w:rsidP="004F4FFB">
      <w:pPr>
        <w:numPr>
          <w:ilvl w:val="0"/>
          <w:numId w:val="8"/>
        </w:numPr>
      </w:pPr>
      <w:r w:rsidRPr="004F4FFB">
        <w:t>HPC present on ACO/PCMH certification</w:t>
      </w:r>
    </w:p>
    <w:p w:rsidR="004F4FFB" w:rsidRPr="004F4FFB" w:rsidRDefault="004F4FFB" w:rsidP="004F4FFB">
      <w:pPr>
        <w:rPr>
          <w:b/>
        </w:rPr>
      </w:pPr>
      <w:r w:rsidRPr="004F4FFB">
        <w:rPr>
          <w:b/>
          <w:bCs/>
        </w:rPr>
        <w:t>Solicitation of Nominations for Proposed SQMS Measures</w:t>
      </w:r>
    </w:p>
    <w:p w:rsidR="004F4FFB" w:rsidRPr="004F4FFB" w:rsidRDefault="004F4FFB" w:rsidP="004F4FFB">
      <w:pPr>
        <w:rPr>
          <w:b/>
        </w:rPr>
      </w:pPr>
      <w:r w:rsidRPr="004F4FFB">
        <w:rPr>
          <w:b/>
        </w:rPr>
        <w:t>April 14</w:t>
      </w:r>
    </w:p>
    <w:p w:rsidR="004F4FFB" w:rsidRPr="004F4FFB" w:rsidRDefault="004F4FFB" w:rsidP="004F4FFB">
      <w:pPr>
        <w:pStyle w:val="ListParagraph"/>
        <w:numPr>
          <w:ilvl w:val="0"/>
          <w:numId w:val="14"/>
        </w:numPr>
      </w:pPr>
      <w:r w:rsidRPr="004F4FFB">
        <w:t>Expert presentations  2 &amp; 3</w:t>
      </w:r>
    </w:p>
    <w:p w:rsidR="004F4FFB" w:rsidRDefault="004F4FFB" w:rsidP="004F4FFB">
      <w:pPr>
        <w:rPr>
          <w:b/>
        </w:rPr>
      </w:pPr>
      <w:r w:rsidRPr="004F4FFB">
        <w:rPr>
          <w:b/>
        </w:rPr>
        <w:t>June 16</w:t>
      </w:r>
    </w:p>
    <w:p w:rsidR="004F4FFB" w:rsidRDefault="004F4FFB" w:rsidP="004F4FFB">
      <w:pPr>
        <w:rPr>
          <w:b/>
        </w:rPr>
      </w:pPr>
    </w:p>
    <w:p w:rsidR="004F4FFB" w:rsidRPr="004F4FFB" w:rsidRDefault="004F4FFB" w:rsidP="004F4FFB">
      <w:pPr>
        <w:pStyle w:val="ListParagraph"/>
        <w:numPr>
          <w:ilvl w:val="0"/>
          <w:numId w:val="13"/>
        </w:numPr>
      </w:pPr>
      <w:r w:rsidRPr="004F4FFB">
        <w:lastRenderedPageBreak/>
        <w:t>Determine which of the proposed measures to assess</w:t>
      </w:r>
    </w:p>
    <w:p w:rsidR="004F4FFB" w:rsidRPr="004F4FFB" w:rsidRDefault="004F4FFB" w:rsidP="004F4FFB">
      <w:pPr>
        <w:rPr>
          <w:b/>
        </w:rPr>
      </w:pPr>
      <w:r w:rsidRPr="004F4FFB">
        <w:rPr>
          <w:b/>
        </w:rPr>
        <w:t>September 8</w:t>
      </w:r>
    </w:p>
    <w:p w:rsidR="004F4FFB" w:rsidRPr="004F4FFB" w:rsidRDefault="004F4FFB" w:rsidP="004F4FFB">
      <w:pPr>
        <w:pStyle w:val="ListParagraph"/>
        <w:numPr>
          <w:ilvl w:val="0"/>
          <w:numId w:val="12"/>
        </w:numPr>
      </w:pPr>
      <w:r w:rsidRPr="004F4FFB">
        <w:t>Review preliminary assessments of proposed measures</w:t>
      </w:r>
    </w:p>
    <w:p w:rsidR="004F4FFB" w:rsidRPr="004F4FFB" w:rsidRDefault="004F4FFB" w:rsidP="004F4FFB">
      <w:pPr>
        <w:rPr>
          <w:b/>
        </w:rPr>
      </w:pPr>
      <w:r w:rsidRPr="004F4FFB">
        <w:rPr>
          <w:b/>
        </w:rPr>
        <w:t>October 20</w:t>
      </w:r>
    </w:p>
    <w:p w:rsidR="004F4FFB" w:rsidRPr="004F4FFB" w:rsidRDefault="004F4FFB" w:rsidP="004F4FFB">
      <w:pPr>
        <w:pStyle w:val="ListParagraph"/>
        <w:numPr>
          <w:ilvl w:val="0"/>
          <w:numId w:val="11"/>
        </w:numPr>
      </w:pPr>
      <w:r w:rsidRPr="004F4FFB">
        <w:t>Review and approve final report and recommendation</w:t>
      </w:r>
    </w:p>
    <w:p w:rsidR="004F4FFB" w:rsidRPr="004F4FFB" w:rsidRDefault="004F4FFB" w:rsidP="004F4FFB">
      <w:pPr>
        <w:rPr>
          <w:b/>
        </w:rPr>
      </w:pPr>
      <w:r w:rsidRPr="004F4FFB">
        <w:rPr>
          <w:b/>
        </w:rPr>
        <w:t>December 15</w:t>
      </w:r>
    </w:p>
    <w:p w:rsidR="004F4FFB" w:rsidRPr="004F4FFB" w:rsidRDefault="004F4FFB" w:rsidP="004F4FFB">
      <w:pPr>
        <w:pStyle w:val="ListParagraph"/>
        <w:numPr>
          <w:ilvl w:val="0"/>
          <w:numId w:val="10"/>
        </w:numPr>
      </w:pPr>
      <w:r w:rsidRPr="004F4FFB">
        <w:t>Review priorities for 2015</w:t>
      </w:r>
    </w:p>
    <w:p w:rsidR="004F4FFB" w:rsidRDefault="004F4FFB" w:rsidP="004F4FFB">
      <w:pPr>
        <w:rPr>
          <w:b/>
        </w:rPr>
      </w:pPr>
      <w:r w:rsidRPr="004F4FFB">
        <w:rPr>
          <w:b/>
        </w:rPr>
        <w:t>Next meeting</w:t>
      </w:r>
    </w:p>
    <w:p w:rsidR="00000000" w:rsidRPr="004F4FFB" w:rsidRDefault="004F4FFB" w:rsidP="004F4FFB">
      <w:pPr>
        <w:numPr>
          <w:ilvl w:val="0"/>
          <w:numId w:val="9"/>
        </w:numPr>
      </w:pPr>
      <w:r w:rsidRPr="004F4FFB">
        <w:t>Monday, February 10</w:t>
      </w:r>
    </w:p>
    <w:p w:rsidR="004F4FFB" w:rsidRPr="004F4FFB" w:rsidRDefault="004F4FFB" w:rsidP="004F4FFB">
      <w:r w:rsidRPr="004F4FFB">
        <w:tab/>
        <w:t>3:00-5:00 p.m.</w:t>
      </w:r>
    </w:p>
    <w:p w:rsidR="004F4FFB" w:rsidRPr="004F4FFB" w:rsidRDefault="004F4FFB" w:rsidP="004F4FFB">
      <w:r w:rsidRPr="004F4FFB">
        <w:tab/>
        <w:t>2 Boylston Street, 5th Floor</w:t>
      </w:r>
    </w:p>
    <w:p w:rsidR="004F4FFB" w:rsidRPr="004F4FFB" w:rsidRDefault="004F4FFB" w:rsidP="004F4FFB">
      <w:r w:rsidRPr="004F4FFB">
        <w:tab/>
        <w:t xml:space="preserve">Boston, MA 02116 </w:t>
      </w:r>
    </w:p>
    <w:p w:rsidR="004F4FFB" w:rsidRPr="004F4FFB" w:rsidRDefault="004F4FFB" w:rsidP="004F4FFB">
      <w:pPr>
        <w:rPr>
          <w:b/>
        </w:rPr>
      </w:pPr>
    </w:p>
    <w:p w:rsidR="004F4FFB" w:rsidRPr="004F4FFB" w:rsidRDefault="004F4FFB" w:rsidP="004F4FFB">
      <w:pPr>
        <w:rPr>
          <w:b/>
        </w:rPr>
      </w:pPr>
    </w:p>
    <w:p w:rsidR="004F4FFB" w:rsidRPr="004F4FFB" w:rsidRDefault="004F4FFB">
      <w:pPr>
        <w:rPr>
          <w:b/>
        </w:rPr>
      </w:pPr>
    </w:p>
    <w:sectPr w:rsidR="004F4FFB" w:rsidRPr="004F4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9CE"/>
    <w:multiLevelType w:val="hybridMultilevel"/>
    <w:tmpl w:val="2FC62946"/>
    <w:lvl w:ilvl="0" w:tplc="ACEA3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278B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F949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7B8F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6FA2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7AED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D8AD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794A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C8A4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07CF478B"/>
    <w:multiLevelType w:val="hybridMultilevel"/>
    <w:tmpl w:val="B9E6506E"/>
    <w:lvl w:ilvl="0" w:tplc="F60CA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4806ED6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00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0222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E72F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3A6F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B90F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72E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00CE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1108000F"/>
    <w:multiLevelType w:val="hybridMultilevel"/>
    <w:tmpl w:val="E74E4ABE"/>
    <w:lvl w:ilvl="0" w:tplc="E39A2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EC0E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17C3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0BCF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598C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090A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F2C5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5584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19C9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1D6305ED"/>
    <w:multiLevelType w:val="hybridMultilevel"/>
    <w:tmpl w:val="ECB69058"/>
    <w:lvl w:ilvl="0" w:tplc="2AF8E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DEC0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5963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068B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7361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1B0F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4B41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980B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D769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236F1E8E"/>
    <w:multiLevelType w:val="hybridMultilevel"/>
    <w:tmpl w:val="A90CD348"/>
    <w:lvl w:ilvl="0" w:tplc="2C40F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ED4A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1D4E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4E2D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2546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0DCA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07E9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A0E9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098B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2C4F0CD3"/>
    <w:multiLevelType w:val="hybridMultilevel"/>
    <w:tmpl w:val="4426B9B4"/>
    <w:lvl w:ilvl="0" w:tplc="D4E62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A441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4DEB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79EC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DD0C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0089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0E6F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D1CC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A9AA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304F75AE"/>
    <w:multiLevelType w:val="hybridMultilevel"/>
    <w:tmpl w:val="E33AC5B2"/>
    <w:lvl w:ilvl="0" w:tplc="B900D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D8C6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CE01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DC49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622F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75CC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3F6C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1184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BB8D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36D11F5F"/>
    <w:multiLevelType w:val="hybridMultilevel"/>
    <w:tmpl w:val="493A881A"/>
    <w:lvl w:ilvl="0" w:tplc="BCF80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43A0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E288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CA6C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F381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0226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99AD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E9A2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5D07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>
    <w:nsid w:val="51B2565C"/>
    <w:multiLevelType w:val="hybridMultilevel"/>
    <w:tmpl w:val="8826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E08DA"/>
    <w:multiLevelType w:val="hybridMultilevel"/>
    <w:tmpl w:val="8950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72FB0"/>
    <w:multiLevelType w:val="hybridMultilevel"/>
    <w:tmpl w:val="7C06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D2326"/>
    <w:multiLevelType w:val="hybridMultilevel"/>
    <w:tmpl w:val="3C42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C5011"/>
    <w:multiLevelType w:val="hybridMultilevel"/>
    <w:tmpl w:val="A4FE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3345E"/>
    <w:multiLevelType w:val="hybridMultilevel"/>
    <w:tmpl w:val="52588300"/>
    <w:lvl w:ilvl="0" w:tplc="055AA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8E0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B89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108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F4F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4D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C2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E2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62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1C"/>
    <w:rsid w:val="00025414"/>
    <w:rsid w:val="001A181A"/>
    <w:rsid w:val="001F14E8"/>
    <w:rsid w:val="00252D21"/>
    <w:rsid w:val="003D19AA"/>
    <w:rsid w:val="004557A8"/>
    <w:rsid w:val="004719C4"/>
    <w:rsid w:val="004C2757"/>
    <w:rsid w:val="004F4FFB"/>
    <w:rsid w:val="00797F45"/>
    <w:rsid w:val="00820716"/>
    <w:rsid w:val="00A2221C"/>
    <w:rsid w:val="00AD3DA8"/>
    <w:rsid w:val="00C23AFF"/>
    <w:rsid w:val="00CF2FE6"/>
    <w:rsid w:val="00D8473E"/>
    <w:rsid w:val="00F92A6C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2221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221C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2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D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4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2221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221C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2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D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983">
          <w:marLeft w:val="21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1577">
          <w:marLeft w:val="21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6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1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3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57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0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0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7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0"/>
            </a:pPr>
            <a:r>
              <a:rPr lang="en-US" sz="1200" b="0" dirty="0"/>
              <a:t>n = 128</a:t>
            </a:r>
          </a:p>
        </c:rich>
      </c:tx>
      <c:layout>
        <c:manualLayout>
          <c:xMode val="edge"/>
          <c:yMode val="edge"/>
          <c:x val="0.59927919947506558"/>
          <c:y val="0.50120334844227277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Lbls>
            <c:txPr>
              <a:bodyPr/>
              <a:lstStyle/>
              <a:p>
                <a:pPr>
                  <a:defRPr sz="14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Mandated</c:v>
                </c:pt>
                <c:pt idx="1">
                  <c:v>SQAC-Recommended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93</c:v>
                </c:pt>
                <c:pt idx="1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4788582677165365"/>
          <c:y val="0.32258796574738036"/>
          <c:w val="0.2791250692287317"/>
          <c:h val="0.1713283756197142"/>
        </c:manualLayout>
      </c:layout>
      <c:overlay val="0"/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800">
          <a:latin typeface="Calibri" panose="020F0502020204030204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566334481627297"/>
          <c:y val="0.11488076490438695"/>
          <c:w val="0.42122416338582674"/>
          <c:h val="0.7702384701912260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accent1">
                  <a:lumMod val="25000"/>
                </a:schemeClr>
              </a:solidFill>
              <a:ln w="6350"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accent1">
                  <a:lumMod val="50000"/>
                </a:schemeClr>
              </a:solidFill>
              <a:ln w="6350"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6350"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chemeClr val="accent1">
                  <a:lumMod val="90000"/>
                </a:schemeClr>
              </a:solidFill>
              <a:ln w="6350"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chemeClr val="bg1">
                  <a:lumMod val="85000"/>
                </a:schemeClr>
              </a:solidFill>
              <a:ln w="6350"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solidFill>
                <a:schemeClr val="bg1"/>
              </a:solidFill>
              <a:ln w="6350">
                <a:solidFill>
                  <a:schemeClr val="tx1"/>
                </a:solidFill>
              </a:ln>
            </c:spPr>
          </c:dPt>
          <c:dLbls>
            <c:txPr>
              <a:bodyPr/>
              <a:lstStyle/>
              <a:p>
                <a:pPr>
                  <a:defRPr sz="1400">
                    <a:latin typeface="Calibri" panose="020F050202020403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Sheet1!$A$2:$A$9</c:f>
              <c:strCache>
                <c:ptCount val="8"/>
                <c:pt idx="0">
                  <c:v>Patient-centered Care</c:v>
                </c:pt>
                <c:pt idx="1">
                  <c:v>Behavioral Health</c:v>
                </c:pt>
                <c:pt idx="2">
                  <c:v>Care Coordination</c:v>
                </c:pt>
                <c:pt idx="3">
                  <c:v>Chronic Disease</c:v>
                </c:pt>
                <c:pt idx="4">
                  <c:v>Preventive</c:v>
                </c:pt>
                <c:pt idx="5">
                  <c:v>Pediatric</c:v>
                </c:pt>
                <c:pt idx="6">
                  <c:v>Maternal &amp; Neonatal</c:v>
                </c:pt>
                <c:pt idx="7">
                  <c:v>Other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0</c:v>
                </c:pt>
                <c:pt idx="1">
                  <c:v>12</c:v>
                </c:pt>
                <c:pt idx="2">
                  <c:v>26</c:v>
                </c:pt>
                <c:pt idx="3">
                  <c:v>21</c:v>
                </c:pt>
                <c:pt idx="4">
                  <c:v>15</c:v>
                </c:pt>
                <c:pt idx="5">
                  <c:v>11</c:v>
                </c:pt>
                <c:pt idx="6">
                  <c:v>8</c:v>
                </c:pt>
                <c:pt idx="7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819157652022472"/>
          <c:y val="0.30472805482647997"/>
          <c:w val="0.32994894192913388"/>
          <c:h val="0.51686643336249638"/>
        </c:manualLayout>
      </c:layout>
      <c:overlay val="0"/>
      <c:txPr>
        <a:bodyPr/>
        <a:lstStyle/>
        <a:p>
          <a:pPr>
            <a:defRPr sz="1200" b="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800">
          <a:latin typeface="Calibri" panose="020F0502020204030204" pitchFamily="34" charset="0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</cdr:x>
      <cdr:y>0.3226</cdr:y>
    </cdr:from>
    <cdr:to>
      <cdr:x>0.82745</cdr:x>
      <cdr:y>0.4152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67200" y="1007875"/>
          <a:ext cx="776935" cy="289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dirty="0" smtClean="0">
              <a:latin typeface="Calibri" panose="020F0502020204030204" pitchFamily="34" charset="0"/>
            </a:rPr>
            <a:t>(73%)</a:t>
          </a:r>
          <a:endParaRPr lang="en-US" sz="1200" dirty="0">
            <a:latin typeface="Calibri" panose="020F0502020204030204" pitchFamily="34" charset="0"/>
          </a:endParaRPr>
        </a:p>
      </cdr:txBody>
    </cdr:sp>
  </cdr:relSizeAnchor>
  <cdr:relSizeAnchor xmlns:cdr="http://schemas.openxmlformats.org/drawingml/2006/chartDrawing">
    <cdr:from>
      <cdr:x>0.80721</cdr:x>
      <cdr:y>0.40711</cdr:y>
    </cdr:from>
    <cdr:to>
      <cdr:x>0.91151</cdr:x>
      <cdr:y>0.4894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4920740" y="1271881"/>
          <a:ext cx="635797" cy="2571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 dirty="0" smtClean="0">
              <a:latin typeface="Calibri" panose="020F0502020204030204" pitchFamily="34" charset="0"/>
            </a:rPr>
            <a:t>(27%) </a:t>
          </a:r>
          <a:endParaRPr lang="en-US" sz="1200" dirty="0">
            <a:latin typeface="Calibri" panose="020F05020202040302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0.856</cdr:x>
      <cdr:y>0.47049</cdr:y>
    </cdr:from>
    <cdr:to>
      <cdr:x>0.99446</cdr:x>
      <cdr:y>0.54167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4362083" y="1290637"/>
          <a:ext cx="705583" cy="1952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defPPr>
            <a:defRPr lang="en-US"/>
          </a:defPPr>
          <a:lvl1pPr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chemeClr val="tx1"/>
              </a:solidFill>
              <a:latin typeface="Arial" pitchFamily="34" charset="0"/>
              <a:ea typeface="Osaka"/>
              <a:cs typeface="Osaka"/>
            </a:defRPr>
          </a:lvl1pPr>
          <a:lvl2pPr marL="4572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chemeClr val="tx1"/>
              </a:solidFill>
              <a:latin typeface="Arial" pitchFamily="34" charset="0"/>
              <a:ea typeface="Osaka"/>
              <a:cs typeface="Osaka"/>
            </a:defRPr>
          </a:lvl2pPr>
          <a:lvl3pPr marL="9144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chemeClr val="tx1"/>
              </a:solidFill>
              <a:latin typeface="Arial" pitchFamily="34" charset="0"/>
              <a:ea typeface="Osaka"/>
              <a:cs typeface="Osaka"/>
            </a:defRPr>
          </a:lvl3pPr>
          <a:lvl4pPr marL="13716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chemeClr val="tx1"/>
              </a:solidFill>
              <a:latin typeface="Arial" pitchFamily="34" charset="0"/>
              <a:ea typeface="Osaka"/>
              <a:cs typeface="Osaka"/>
            </a:defRPr>
          </a:lvl4pPr>
          <a:lvl5pPr marL="18288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chemeClr val="tx1"/>
              </a:solidFill>
              <a:latin typeface="Arial" pitchFamily="34" charset="0"/>
              <a:ea typeface="Osaka"/>
              <a:cs typeface="Osaka"/>
            </a:defRPr>
          </a:lvl5pPr>
          <a:lvl6pPr marL="2286000" algn="l" defTabSz="914400" rtl="0" eaLnBrk="1" latinLnBrk="0" hangingPunct="1">
            <a:defRPr kern="1200">
              <a:solidFill>
                <a:schemeClr val="tx1"/>
              </a:solidFill>
              <a:latin typeface="Arial" pitchFamily="34" charset="0"/>
              <a:ea typeface="Osaka"/>
              <a:cs typeface="Osaka"/>
            </a:defRPr>
          </a:lvl6pPr>
          <a:lvl7pPr marL="2743200" algn="l" defTabSz="914400" rtl="0" eaLnBrk="1" latinLnBrk="0" hangingPunct="1">
            <a:defRPr kern="1200">
              <a:solidFill>
                <a:schemeClr val="tx1"/>
              </a:solidFill>
              <a:latin typeface="Arial" pitchFamily="34" charset="0"/>
              <a:ea typeface="Osaka"/>
              <a:cs typeface="Osaka"/>
            </a:defRPr>
          </a:lvl7pPr>
          <a:lvl8pPr marL="3200400" algn="l" defTabSz="914400" rtl="0" eaLnBrk="1" latinLnBrk="0" hangingPunct="1">
            <a:defRPr kern="1200">
              <a:solidFill>
                <a:schemeClr val="tx1"/>
              </a:solidFill>
              <a:latin typeface="Arial" pitchFamily="34" charset="0"/>
              <a:ea typeface="Osaka"/>
              <a:cs typeface="Osaka"/>
            </a:defRPr>
          </a:lvl8pPr>
          <a:lvl9pPr marL="3657600" algn="l" defTabSz="914400" rtl="0" eaLnBrk="1" latinLnBrk="0" hangingPunct="1">
            <a:defRPr kern="1200">
              <a:solidFill>
                <a:schemeClr val="tx1"/>
              </a:solidFill>
              <a:latin typeface="Arial" pitchFamily="34" charset="0"/>
              <a:ea typeface="Osaka"/>
              <a:cs typeface="Osaka"/>
            </a:defRPr>
          </a:lvl9pPr>
        </a:lstStyle>
        <a:p xmlns:a="http://schemas.openxmlformats.org/drawingml/2006/main">
          <a:r>
            <a:rPr lang="en-US" sz="1100" dirty="0" smtClean="0">
              <a:latin typeface="Calibri" panose="020F0502020204030204" pitchFamily="34" charset="0"/>
            </a:rPr>
            <a:t>(16%)</a:t>
          </a:r>
          <a:endParaRPr lang="en-US" sz="1100" dirty="0">
            <a:latin typeface="Calibri" panose="020F0502020204030204" pitchFamily="34" charset="0"/>
          </a:endParaRPr>
        </a:p>
      </cdr:txBody>
    </cdr:sp>
  </cdr:relSizeAnchor>
  <cdr:relSizeAnchor xmlns:cdr="http://schemas.openxmlformats.org/drawingml/2006/chartDrawing">
    <cdr:from>
      <cdr:x>0.8</cdr:x>
      <cdr:y>0.53472</cdr:y>
    </cdr:from>
    <cdr:to>
      <cdr:x>0.93846</cdr:x>
      <cdr:y>0.61806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3962400" y="1466850"/>
          <a:ext cx="6858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 dirty="0" smtClean="0">
              <a:latin typeface="Calibri" panose="020F0502020204030204" pitchFamily="34" charset="0"/>
            </a:rPr>
            <a:t>(12%)</a:t>
          </a:r>
          <a:endParaRPr lang="en-US" sz="1100" dirty="0">
            <a:latin typeface="Calibri" panose="020F0502020204030204" pitchFamily="34" charset="0"/>
          </a:endParaRPr>
        </a:p>
      </cdr:txBody>
    </cdr:sp>
  </cdr:relSizeAnchor>
  <cdr:relSizeAnchor xmlns:cdr="http://schemas.openxmlformats.org/drawingml/2006/chartDrawing">
    <cdr:from>
      <cdr:x>0.76923</cdr:x>
      <cdr:y>0.57986</cdr:y>
    </cdr:from>
    <cdr:to>
      <cdr:x>0.90769</cdr:x>
      <cdr:y>0.69097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3919904" y="1590675"/>
          <a:ext cx="705583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b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 dirty="0" smtClean="0">
              <a:latin typeface="Calibri" panose="020F0502020204030204" pitchFamily="34" charset="0"/>
            </a:rPr>
            <a:t>(9%)</a:t>
          </a:r>
          <a:endParaRPr lang="en-US" sz="1100" dirty="0">
            <a:latin typeface="Calibri" panose="020F0502020204030204" pitchFamily="34" charset="0"/>
          </a:endParaRPr>
        </a:p>
      </cdr:txBody>
    </cdr:sp>
  </cdr:relSizeAnchor>
  <cdr:relSizeAnchor xmlns:cdr="http://schemas.openxmlformats.org/drawingml/2006/chartDrawing">
    <cdr:from>
      <cdr:x>0.74766</cdr:x>
      <cdr:y>0.74132</cdr:y>
    </cdr:from>
    <cdr:to>
      <cdr:x>0.94206</cdr:x>
      <cdr:y>0.82813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3810000" y="2033588"/>
          <a:ext cx="9906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defPPr>
            <a:defRPr lang="en-US"/>
          </a:defPPr>
          <a:lvl1pPr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chemeClr val="tx1"/>
              </a:solidFill>
              <a:latin typeface="Arial" pitchFamily="34" charset="0"/>
              <a:ea typeface="Osaka"/>
              <a:cs typeface="Osaka"/>
            </a:defRPr>
          </a:lvl1pPr>
          <a:lvl2pPr marL="4572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chemeClr val="tx1"/>
              </a:solidFill>
              <a:latin typeface="Arial" pitchFamily="34" charset="0"/>
              <a:ea typeface="Osaka"/>
              <a:cs typeface="Osaka"/>
            </a:defRPr>
          </a:lvl2pPr>
          <a:lvl3pPr marL="9144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chemeClr val="tx1"/>
              </a:solidFill>
              <a:latin typeface="Arial" pitchFamily="34" charset="0"/>
              <a:ea typeface="Osaka"/>
              <a:cs typeface="Osaka"/>
            </a:defRPr>
          </a:lvl3pPr>
          <a:lvl4pPr marL="13716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chemeClr val="tx1"/>
              </a:solidFill>
              <a:latin typeface="Arial" pitchFamily="34" charset="0"/>
              <a:ea typeface="Osaka"/>
              <a:cs typeface="Osaka"/>
            </a:defRPr>
          </a:lvl4pPr>
          <a:lvl5pPr marL="18288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chemeClr val="tx1"/>
              </a:solidFill>
              <a:latin typeface="Arial" pitchFamily="34" charset="0"/>
              <a:ea typeface="Osaka"/>
              <a:cs typeface="Osaka"/>
            </a:defRPr>
          </a:lvl5pPr>
          <a:lvl6pPr marL="2286000" algn="l" defTabSz="914400" rtl="0" eaLnBrk="1" latinLnBrk="0" hangingPunct="1">
            <a:defRPr kern="1200">
              <a:solidFill>
                <a:schemeClr val="tx1"/>
              </a:solidFill>
              <a:latin typeface="Arial" pitchFamily="34" charset="0"/>
              <a:ea typeface="Osaka"/>
              <a:cs typeface="Osaka"/>
            </a:defRPr>
          </a:lvl6pPr>
          <a:lvl7pPr marL="2743200" algn="l" defTabSz="914400" rtl="0" eaLnBrk="1" latinLnBrk="0" hangingPunct="1">
            <a:defRPr kern="1200">
              <a:solidFill>
                <a:schemeClr val="tx1"/>
              </a:solidFill>
              <a:latin typeface="Arial" pitchFamily="34" charset="0"/>
              <a:ea typeface="Osaka"/>
              <a:cs typeface="Osaka"/>
            </a:defRPr>
          </a:lvl7pPr>
          <a:lvl8pPr marL="3200400" algn="l" defTabSz="914400" rtl="0" eaLnBrk="1" latinLnBrk="0" hangingPunct="1">
            <a:defRPr kern="1200">
              <a:solidFill>
                <a:schemeClr val="tx1"/>
              </a:solidFill>
              <a:latin typeface="Arial" pitchFamily="34" charset="0"/>
              <a:ea typeface="Osaka"/>
              <a:cs typeface="Osaka"/>
            </a:defRPr>
          </a:lvl8pPr>
          <a:lvl9pPr marL="3657600" algn="l" defTabSz="914400" rtl="0" eaLnBrk="1" latinLnBrk="0" hangingPunct="1">
            <a:defRPr kern="1200">
              <a:solidFill>
                <a:schemeClr val="tx1"/>
              </a:solidFill>
              <a:latin typeface="Arial" pitchFamily="34" charset="0"/>
              <a:ea typeface="Osaka"/>
              <a:cs typeface="Osaka"/>
            </a:defRPr>
          </a:lvl9pPr>
        </a:lstStyle>
        <a:p xmlns:a="http://schemas.openxmlformats.org/drawingml/2006/main">
          <a:r>
            <a:rPr lang="en-US" dirty="0" smtClean="0">
              <a:latin typeface="Calibri" panose="020F0502020204030204" pitchFamily="34" charset="0"/>
            </a:rPr>
            <a:t>(27%)</a:t>
          </a:r>
          <a:endParaRPr lang="en-US" dirty="0">
            <a:latin typeface="Calibri" panose="020F0502020204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Vogel</dc:creator>
  <cp:lastModifiedBy>Rick Vogel</cp:lastModifiedBy>
  <cp:revision>12</cp:revision>
  <dcterms:created xsi:type="dcterms:W3CDTF">2013-10-16T20:34:00Z</dcterms:created>
  <dcterms:modified xsi:type="dcterms:W3CDTF">2013-12-17T17:22:00Z</dcterms:modified>
</cp:coreProperties>
</file>